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F5284F" w:rsidP="003D3715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OPDIVO 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(NIVOLUMAB)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3D3715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OPDIVO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3D3715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NIVOLUMAB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485DCC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1F62B7">
        <w:rPr>
          <w:rFonts w:ascii="Bookman Old Style" w:hAnsi="Bookman Old Style"/>
          <w:color w:val="auto"/>
          <w:sz w:val="24"/>
          <w:szCs w:val="24"/>
        </w:rPr>
        <w:t>1799</w:t>
      </w:r>
      <w:r w:rsidRPr="00485DCC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485DCC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485DCC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1F62B7">
        <w:rPr>
          <w:rFonts w:ascii="Bookman Old Style" w:hAnsi="Bookman Old Style"/>
          <w:color w:val="auto"/>
          <w:sz w:val="24"/>
          <w:szCs w:val="24"/>
        </w:rPr>
        <w:t>2</w:t>
      </w:r>
      <w:r w:rsidR="00B52635" w:rsidRPr="00485DCC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1F62B7">
        <w:rPr>
          <w:rFonts w:ascii="Bookman Old Style" w:hAnsi="Bookman Old Style"/>
          <w:color w:val="auto"/>
          <w:sz w:val="24"/>
          <w:szCs w:val="24"/>
        </w:rPr>
        <w:t>dicembre 2019</w:t>
      </w:r>
      <w:r w:rsidRPr="00485DCC">
        <w:rPr>
          <w:rFonts w:ascii="Bookman Old Style" w:hAnsi="Bookman Old Style"/>
          <w:color w:val="auto"/>
          <w:sz w:val="24"/>
          <w:szCs w:val="24"/>
        </w:rPr>
        <w:t>;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p w:rsidR="0035421E" w:rsidRPr="00B52635" w:rsidRDefault="0035421E" w:rsidP="001F62B7">
      <w:pPr>
        <w:pStyle w:val="Default"/>
        <w:jc w:val="both"/>
        <w:rPr>
          <w:rFonts w:ascii="Bookman Old Style" w:hAnsi="Bookman Old Style"/>
          <w:color w:val="auto"/>
        </w:rPr>
      </w:pPr>
      <w:r w:rsidRPr="00B52635">
        <w:rPr>
          <w:rFonts w:ascii="Bookman Old Style" w:hAnsi="Bookman Old Style"/>
          <w:b/>
          <w:color w:val="auto"/>
        </w:rPr>
        <w:t>O</w:t>
      </w:r>
      <w:r w:rsidR="00B52635" w:rsidRPr="00B52635">
        <w:rPr>
          <w:rFonts w:ascii="Bookman Old Style" w:hAnsi="Bookman Old Style"/>
          <w:b/>
          <w:color w:val="auto"/>
        </w:rPr>
        <w:t>ggetto</w:t>
      </w:r>
      <w:r w:rsidRPr="00B52635">
        <w:rPr>
          <w:rFonts w:ascii="Bookman Old Style" w:hAnsi="Bookman Old Style"/>
          <w:color w:val="auto"/>
        </w:rPr>
        <w:t xml:space="preserve">: </w:t>
      </w:r>
      <w:r w:rsidR="00B52635" w:rsidRPr="00B52635">
        <w:rPr>
          <w:rFonts w:ascii="Bookman Old Style" w:hAnsi="Bookman Old Style" w:cs="TimesNewRomanPS-BoldMT"/>
          <w:bCs/>
          <w:color w:val="auto"/>
        </w:rPr>
        <w:t>Regime di rimborsabilità e prezzo</w:t>
      </w:r>
      <w:r w:rsidR="001F62B7">
        <w:rPr>
          <w:rFonts w:ascii="Bookman Old Style" w:hAnsi="Bookman Old Style" w:cs="TimesNewRomanPS-BoldMT"/>
          <w:bCs/>
          <w:color w:val="auto"/>
        </w:rPr>
        <w:t>, a seguito di nuove indicazioni terapeutiche,</w:t>
      </w:r>
      <w:r w:rsidR="00B52635" w:rsidRPr="00B52635">
        <w:rPr>
          <w:rFonts w:ascii="Bookman Old Style" w:hAnsi="Bookman Old Style" w:cs="TimesNewRomanPS-BoldMT"/>
          <w:bCs/>
          <w:color w:val="auto"/>
        </w:rPr>
        <w:t xml:space="preserve"> del medicinale per uso umano</w:t>
      </w:r>
      <w:r w:rsidR="00CE272C">
        <w:rPr>
          <w:rFonts w:ascii="Bookman Old Style" w:hAnsi="Bookman Old Style" w:cs="TimesNewRomanPS-BoldMT"/>
          <w:bCs/>
          <w:color w:val="auto"/>
        </w:rPr>
        <w:t xml:space="preserve"> </w:t>
      </w:r>
      <w:r w:rsidR="00CE272C" w:rsidRPr="00CE272C">
        <w:rPr>
          <w:rFonts w:ascii="Bookman Old Style" w:hAnsi="Bookman Old Style" w:cs="Courier New"/>
          <w:szCs w:val="20"/>
        </w:rPr>
        <w:t>«</w:t>
      </w:r>
      <w:proofErr w:type="spellStart"/>
      <w:r w:rsidR="00CE272C" w:rsidRPr="00CE272C">
        <w:rPr>
          <w:rFonts w:ascii="Bookman Old Style" w:hAnsi="Bookman Old Style" w:cs="Courier New"/>
          <w:szCs w:val="20"/>
        </w:rPr>
        <w:t>Opdivo</w:t>
      </w:r>
      <w:proofErr w:type="spellEnd"/>
      <w:r w:rsidR="00CE272C" w:rsidRPr="00CE272C">
        <w:rPr>
          <w:rFonts w:ascii="Bookman Old Style" w:hAnsi="Bookman Old Style" w:cs="Courier New"/>
          <w:szCs w:val="20"/>
        </w:rPr>
        <w:t>»</w:t>
      </w:r>
      <w:r w:rsidRPr="00B52635">
        <w:rPr>
          <w:rFonts w:ascii="Bookman Old Style" w:hAnsi="Bookman Old Style"/>
          <w:color w:val="auto"/>
        </w:rPr>
        <w:t xml:space="preserve">; 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Rimborsabilità a carico del SSN a partire dal </w:t>
      </w:r>
      <w:r w:rsidR="001F62B7">
        <w:rPr>
          <w:rFonts w:ascii="Bookman Old Style" w:hAnsi="Bookman Old Style"/>
          <w:color w:val="auto"/>
          <w:sz w:val="24"/>
          <w:szCs w:val="24"/>
        </w:rPr>
        <w:t>18/12/2019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C1F13" w:rsidRPr="00613638" w:rsidRDefault="003C1F13" w:rsidP="003C1F13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613638">
        <w:rPr>
          <w:rFonts w:ascii="Bookman Old Style" w:hAnsi="Bookman Old Style"/>
          <w:b/>
          <w:sz w:val="24"/>
          <w:szCs w:val="24"/>
        </w:rPr>
        <w:t>INDICAZIONI GIA’ RIMBORSATE</w:t>
      </w:r>
    </w:p>
    <w:p w:rsidR="003C1F13" w:rsidRPr="00613638" w:rsidRDefault="00613638" w:rsidP="002B1A45">
      <w:pPr>
        <w:pStyle w:val="Paragrafoelenco"/>
        <w:numPr>
          <w:ilvl w:val="0"/>
          <w:numId w:val="16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13638">
        <w:rPr>
          <w:rFonts w:ascii="Bookman Old Style" w:eastAsia="Times New Roman" w:hAnsi="Bookman Old Style" w:cs="Times New Roman"/>
          <w:sz w:val="24"/>
          <w:szCs w:val="24"/>
        </w:rPr>
        <w:t>M</w:t>
      </w:r>
      <w:r w:rsidR="003C1F13" w:rsidRPr="00613638">
        <w:rPr>
          <w:rFonts w:ascii="Bookman Old Style" w:eastAsia="Times New Roman" w:hAnsi="Bookman Old Style" w:cs="Times New Roman"/>
          <w:sz w:val="24"/>
          <w:szCs w:val="24"/>
        </w:rPr>
        <w:t>elanoma avanzato (non resecabile o metastatico) negli adulti</w:t>
      </w:r>
      <w:r w:rsidRPr="00613638">
        <w:rPr>
          <w:rFonts w:ascii="Bookman Old Style" w:eastAsia="Times New Roman" w:hAnsi="Bookman Old Style" w:cs="Times New Roman"/>
          <w:sz w:val="24"/>
          <w:szCs w:val="24"/>
        </w:rPr>
        <w:t xml:space="preserve"> in </w:t>
      </w:r>
      <w:proofErr w:type="spellStart"/>
      <w:r w:rsidRPr="00613638">
        <w:rPr>
          <w:rFonts w:ascii="Bookman Old Style" w:eastAsia="Times New Roman" w:hAnsi="Bookman Old Style" w:cs="Times New Roman"/>
          <w:sz w:val="24"/>
          <w:szCs w:val="24"/>
        </w:rPr>
        <w:t>monoterapia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764002" w:rsidRDefault="002B1A45" w:rsidP="002B1A45">
      <w:pPr>
        <w:pStyle w:val="Normale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764002" w:rsidRPr="00F5284F">
        <w:rPr>
          <w:rFonts w:ascii="Bookman Old Style" w:hAnsi="Bookman Old Style"/>
        </w:rPr>
        <w:t>arcinoma polmonare non a piccole cellule (NSCLC) localmente avanzato o metastatico dopo una preced</w:t>
      </w:r>
      <w:r w:rsidR="00CE272C">
        <w:rPr>
          <w:rFonts w:ascii="Bookman Old Style" w:hAnsi="Bookman Old Style"/>
        </w:rPr>
        <w:t>ente chemioterapia negli adulti</w:t>
      </w:r>
      <w:r>
        <w:rPr>
          <w:rFonts w:ascii="Bookman Old Style" w:hAnsi="Bookman Old Style"/>
        </w:rPr>
        <w:t xml:space="preserve"> in </w:t>
      </w:r>
      <w:proofErr w:type="spellStart"/>
      <w:r>
        <w:rPr>
          <w:rFonts w:ascii="Bookman Old Style" w:hAnsi="Bookman Old Style"/>
        </w:rPr>
        <w:t>monoterapia</w:t>
      </w:r>
      <w:proofErr w:type="spellEnd"/>
      <w:r w:rsidR="00CE272C">
        <w:rPr>
          <w:rFonts w:ascii="Bookman Old Style" w:hAnsi="Bookman Old Style"/>
        </w:rPr>
        <w:t>;</w:t>
      </w:r>
    </w:p>
    <w:p w:rsidR="00CE272C" w:rsidRDefault="002B1A45" w:rsidP="002B1A45">
      <w:pPr>
        <w:pStyle w:val="Normale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CE272C">
        <w:rPr>
          <w:rFonts w:ascii="Bookman Old Style" w:hAnsi="Bookman Old Style"/>
        </w:rPr>
        <w:t xml:space="preserve">arcinoma a cellule renali </w:t>
      </w:r>
      <w:r>
        <w:rPr>
          <w:rFonts w:ascii="Bookman Old Style" w:hAnsi="Bookman Old Style"/>
        </w:rPr>
        <w:t xml:space="preserve">(RCC) </w:t>
      </w:r>
      <w:r w:rsidR="00CE272C">
        <w:rPr>
          <w:rFonts w:ascii="Bookman Old Style" w:hAnsi="Bookman Old Style"/>
        </w:rPr>
        <w:t>avanzato dopo precedente terapia negli adulti</w:t>
      </w:r>
      <w:r>
        <w:rPr>
          <w:rFonts w:ascii="Bookman Old Style" w:hAnsi="Bookman Old Style"/>
        </w:rPr>
        <w:t xml:space="preserve"> in </w:t>
      </w:r>
      <w:proofErr w:type="spellStart"/>
      <w:r>
        <w:rPr>
          <w:rFonts w:ascii="Bookman Old Style" w:hAnsi="Bookman Old Style"/>
        </w:rPr>
        <w:t>monoterapia</w:t>
      </w:r>
      <w:proofErr w:type="spellEnd"/>
      <w:r>
        <w:rPr>
          <w:rFonts w:ascii="Bookman Old Style" w:hAnsi="Bookman Old Style"/>
        </w:rPr>
        <w:t>;</w:t>
      </w:r>
    </w:p>
    <w:p w:rsidR="006F1E60" w:rsidRPr="006F1E60" w:rsidRDefault="002B1A45" w:rsidP="002B1A45">
      <w:pPr>
        <w:pStyle w:val="Normale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Courier New"/>
        </w:rPr>
        <w:t>C</w:t>
      </w:r>
      <w:r w:rsidRPr="003A5F38">
        <w:rPr>
          <w:rFonts w:ascii="Bookman Old Style" w:hAnsi="Bookman Old Style" w:cs="Courier New"/>
        </w:rPr>
        <w:t xml:space="preserve">arcinoma squamoso della testa e del collo </w:t>
      </w:r>
      <w:r>
        <w:rPr>
          <w:rFonts w:ascii="Bookman Old Style" w:hAnsi="Bookman Old Style" w:cs="Courier New"/>
        </w:rPr>
        <w:t xml:space="preserve">(SCCHN) </w:t>
      </w:r>
      <w:r w:rsidRPr="003A5F38">
        <w:rPr>
          <w:rFonts w:ascii="Bookman Old Style" w:hAnsi="Bookman Old Style" w:cs="Courier New"/>
        </w:rPr>
        <w:t>negli adulti in progressione durante o</w:t>
      </w:r>
      <w:r>
        <w:rPr>
          <w:rFonts w:ascii="Bookman Old Style" w:hAnsi="Bookman Old Style" w:cs="Courier New"/>
        </w:rPr>
        <w:t xml:space="preserve"> dopo terapia a base di platino in </w:t>
      </w:r>
      <w:proofErr w:type="spellStart"/>
      <w:r>
        <w:rPr>
          <w:rFonts w:ascii="Bookman Old Style" w:hAnsi="Bookman Old Style" w:cs="Courier New"/>
        </w:rPr>
        <w:t>monoterapia</w:t>
      </w:r>
      <w:proofErr w:type="spellEnd"/>
      <w:r w:rsidR="006F1E60">
        <w:rPr>
          <w:rFonts w:ascii="Bookman Old Style" w:hAnsi="Bookman Old Style" w:cs="Courier New"/>
        </w:rPr>
        <w:t>;</w:t>
      </w:r>
    </w:p>
    <w:p w:rsidR="002B1A45" w:rsidRPr="006F1E60" w:rsidRDefault="006F1E60" w:rsidP="006F1E60">
      <w:pPr>
        <w:pStyle w:val="Default"/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 w:cs="Courier New"/>
        </w:rPr>
        <w:t xml:space="preserve">linfoma di </w:t>
      </w:r>
      <w:proofErr w:type="spellStart"/>
      <w:r>
        <w:rPr>
          <w:rFonts w:ascii="Bookman Old Style" w:hAnsi="Bookman Old Style" w:cs="Courier New"/>
        </w:rPr>
        <w:t>Hodgkin</w:t>
      </w:r>
      <w:proofErr w:type="spellEnd"/>
      <w:r>
        <w:rPr>
          <w:rFonts w:ascii="Bookman Old Style" w:hAnsi="Bookman Old Style" w:cs="Courier New"/>
        </w:rPr>
        <w:t xml:space="preserve"> classico (</w:t>
      </w:r>
      <w:proofErr w:type="spellStart"/>
      <w:r>
        <w:rPr>
          <w:rFonts w:ascii="Bookman Old Style" w:hAnsi="Bookman Old Style" w:cs="Courier New"/>
        </w:rPr>
        <w:t>cHL</w:t>
      </w:r>
      <w:proofErr w:type="spellEnd"/>
      <w:r>
        <w:rPr>
          <w:rFonts w:ascii="Bookman Old Style" w:hAnsi="Bookman Old Style" w:cs="Courier New"/>
        </w:rPr>
        <w:t xml:space="preserve">) recidivante o refrattario dopo trapianto autologo di cellule staminali (ASTC) e trattamento con </w:t>
      </w:r>
      <w:proofErr w:type="spellStart"/>
      <w:r>
        <w:rPr>
          <w:rFonts w:ascii="Bookman Old Style" w:hAnsi="Bookman Old Style" w:cs="Courier New"/>
        </w:rPr>
        <w:t>brentuximab</w:t>
      </w:r>
      <w:proofErr w:type="spellEnd"/>
      <w:r>
        <w:rPr>
          <w:rFonts w:ascii="Bookman Old Style" w:hAnsi="Bookman Old Style" w:cs="Courier New"/>
        </w:rPr>
        <w:t xml:space="preserve"> </w:t>
      </w:r>
      <w:proofErr w:type="spellStart"/>
      <w:r>
        <w:rPr>
          <w:rFonts w:ascii="Bookman Old Style" w:hAnsi="Bookman Old Style" w:cs="Courier New"/>
        </w:rPr>
        <w:t>vedotin</w:t>
      </w:r>
      <w:proofErr w:type="spellEnd"/>
      <w:r w:rsidRPr="003A5F38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 xml:space="preserve">negli adulti </w:t>
      </w:r>
      <w:r w:rsidRPr="003A5F38">
        <w:rPr>
          <w:rFonts w:ascii="Bookman Old Style" w:hAnsi="Bookman Old Style" w:cs="Courier New"/>
        </w:rPr>
        <w:t xml:space="preserve">in </w:t>
      </w:r>
      <w:proofErr w:type="spellStart"/>
      <w:r w:rsidRPr="003A5F38">
        <w:rPr>
          <w:rFonts w:ascii="Bookman Old Style" w:hAnsi="Bookman Old Style" w:cs="Courier New"/>
        </w:rPr>
        <w:t>monoterapia</w:t>
      </w:r>
      <w:proofErr w:type="spellEnd"/>
      <w:r w:rsidR="002B1A45" w:rsidRPr="006F1E60">
        <w:rPr>
          <w:rFonts w:ascii="Bookman Old Style" w:hAnsi="Bookman Old Style" w:cs="Courier New"/>
        </w:rPr>
        <w:t>.</w:t>
      </w:r>
    </w:p>
    <w:p w:rsidR="0035421E" w:rsidRPr="00777C21" w:rsidRDefault="00F5284F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NUOV</w:t>
      </w:r>
      <w:r w:rsidR="006F1E60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b/>
          <w:sz w:val="24"/>
          <w:szCs w:val="24"/>
        </w:rPr>
        <w:t xml:space="preserve"> INDICAZION</w:t>
      </w:r>
      <w:r w:rsidR="006F1E60">
        <w:rPr>
          <w:rFonts w:ascii="Bookman Old Style" w:hAnsi="Bookman Old Style"/>
          <w:b/>
          <w:sz w:val="24"/>
          <w:szCs w:val="24"/>
        </w:rPr>
        <w:t>e</w:t>
      </w:r>
      <w:r>
        <w:rPr>
          <w:rFonts w:ascii="Bookman Old Style" w:hAnsi="Bookman Old Style"/>
          <w:b/>
          <w:sz w:val="24"/>
          <w:szCs w:val="24"/>
        </w:rPr>
        <w:t xml:space="preserve"> TERAPEUTIC</w:t>
      </w:r>
      <w:r w:rsidR="006F1E60">
        <w:rPr>
          <w:rFonts w:ascii="Bookman Old Style" w:hAnsi="Bookman Old Style"/>
          <w:b/>
          <w:sz w:val="24"/>
          <w:szCs w:val="24"/>
        </w:rPr>
        <w:t>a</w:t>
      </w:r>
    </w:p>
    <w:p w:rsidR="00F5284F" w:rsidRPr="003A5F38" w:rsidRDefault="003D3715" w:rsidP="003A5F38">
      <w:pPr>
        <w:pStyle w:val="Default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Opdivo</w:t>
      </w:r>
      <w:proofErr w:type="spellEnd"/>
      <w:r w:rsidR="0060036B" w:rsidRPr="00B52635">
        <w:rPr>
          <w:rFonts w:ascii="Bookman Old Style" w:hAnsi="Bookman Old Style"/>
        </w:rPr>
        <w:t xml:space="preserve">, in regime di rimborsabilità SSN, </w:t>
      </w:r>
      <w:r w:rsidR="00B52635">
        <w:rPr>
          <w:rFonts w:ascii="Bookman Old Style" w:hAnsi="Bookman Old Style"/>
        </w:rPr>
        <w:t xml:space="preserve">potrà essere utilizzato </w:t>
      </w:r>
      <w:r w:rsidR="0035421E" w:rsidRPr="00B52635">
        <w:rPr>
          <w:rFonts w:ascii="Bookman Old Style" w:hAnsi="Bookman Old Style"/>
        </w:rPr>
        <w:t xml:space="preserve">per </w:t>
      </w:r>
      <w:r w:rsidR="00764002">
        <w:rPr>
          <w:rFonts w:ascii="Bookman Old Style" w:hAnsi="Bookman Old Style"/>
        </w:rPr>
        <w:t>la seguente nuova indicazione terapeutica</w:t>
      </w:r>
      <w:r w:rsidR="0060036B" w:rsidRPr="00B52635">
        <w:rPr>
          <w:rFonts w:ascii="Bookman Old Style" w:hAnsi="Bookman Old Style"/>
        </w:rPr>
        <w:t xml:space="preserve">: </w:t>
      </w:r>
      <w:r w:rsidR="00206EE8" w:rsidRPr="00206EE8">
        <w:rPr>
          <w:rFonts w:ascii="Bookman Old Style" w:hAnsi="Bookman Old Style"/>
        </w:rPr>
        <w:t xml:space="preserve">in </w:t>
      </w:r>
      <w:proofErr w:type="spellStart"/>
      <w:r w:rsidR="00206EE8" w:rsidRPr="00206EE8">
        <w:rPr>
          <w:rFonts w:ascii="Bookman Old Style" w:hAnsi="Bookman Old Style"/>
        </w:rPr>
        <w:t>monoterapia</w:t>
      </w:r>
      <w:proofErr w:type="spellEnd"/>
      <w:r w:rsidR="00206EE8" w:rsidRPr="00206EE8">
        <w:rPr>
          <w:rFonts w:ascii="Bookman Old Style" w:hAnsi="Bookman Old Style"/>
        </w:rPr>
        <w:t xml:space="preserve"> nel trattamento adiuvante di pazienti adulti </w:t>
      </w:r>
      <w:r w:rsidR="00206EE8" w:rsidRPr="00206EE8">
        <w:rPr>
          <w:rFonts w:ascii="Bookman Old Style" w:hAnsi="Bookman Old Style"/>
        </w:rPr>
        <w:lastRenderedPageBreak/>
        <w:t>con melanoma con coinvolgimento dei linfonodi o malattia metastatica che sono stati sottoposti a resezione completa.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012557" w:rsidRPr="00B52635" w:rsidRDefault="00800C91" w:rsidP="00CE272C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t>N</w:t>
      </w:r>
      <w:r w:rsidR="00012557" w:rsidRPr="00B52635">
        <w:rPr>
          <w:rFonts w:ascii="Bookman Old Style" w:hAnsi="Bookman Old Style"/>
          <w:color w:val="auto"/>
        </w:rPr>
        <w:t xml:space="preserve">: </w:t>
      </w:r>
      <w:r w:rsidR="001F62B7">
        <w:rPr>
          <w:rFonts w:ascii="Bookman Old Style" w:hAnsi="Bookman Old Style" w:cs="Times New Roman"/>
        </w:rPr>
        <w:t>295</w:t>
      </w:r>
      <w:r w:rsidR="00C33DCA" w:rsidRPr="007C1FAB">
        <w:rPr>
          <w:rFonts w:ascii="Bookman Old Style" w:hAnsi="Bookman Old Style" w:cs="Times New Roman"/>
        </w:rPr>
        <w:t xml:space="preserve"> </w:t>
      </w:r>
      <w:r w:rsidR="00CE272C" w:rsidRPr="007C1FAB">
        <w:rPr>
          <w:rFonts w:ascii="Bookman Old Style" w:hAnsi="Bookman Old Style" w:cs="Times New Roman"/>
        </w:rPr>
        <w:t xml:space="preserve">del </w:t>
      </w:r>
      <w:r w:rsidR="001F62B7">
        <w:rPr>
          <w:rFonts w:ascii="Bookman Old Style" w:hAnsi="Bookman Old Style" w:cs="Times New Roman"/>
        </w:rPr>
        <w:t>17/12/2019</w:t>
      </w:r>
      <w:r w:rsidR="00551363">
        <w:rPr>
          <w:rFonts w:ascii="Bookman Old Style" w:hAnsi="Bookman Old Style" w:cs="Times New Roman"/>
        </w:rPr>
        <w:t xml:space="preserve"> </w:t>
      </w:r>
      <w:r w:rsidR="00551363">
        <w:rPr>
          <w:rFonts w:ascii="Bookman Old Style" w:hAnsi="Bookman Old Style"/>
          <w:color w:val="auto"/>
        </w:rPr>
        <w:t>(in allegato)</w:t>
      </w:r>
      <w:r w:rsidR="00E7728E">
        <w:rPr>
          <w:rFonts w:ascii="Times New Roman" w:hAnsi="Times New Roman" w:cs="Times New Roman"/>
          <w:sz w:val="23"/>
          <w:szCs w:val="23"/>
        </w:rPr>
        <w:t>.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9C21DC">
        <w:rPr>
          <w:rFonts w:ascii="Bookman Old Style" w:hAnsi="Bookman Old Style"/>
          <w:b/>
          <w:sz w:val="24"/>
          <w:szCs w:val="24"/>
        </w:rPr>
        <w:t>RIMBORSABILITA’</w:t>
      </w:r>
    </w:p>
    <w:p w:rsidR="00EE2CB1" w:rsidRPr="00EE2CB1" w:rsidRDefault="0035421E" w:rsidP="00C970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Pr="00705626">
        <w:rPr>
          <w:rFonts w:ascii="Bookman Old Style" w:hAnsi="Bookman Old Style"/>
          <w:sz w:val="24"/>
          <w:szCs w:val="24"/>
        </w:rPr>
        <w:t>;</w:t>
      </w:r>
    </w:p>
    <w:p w:rsidR="00C9708C" w:rsidRDefault="00C9708C" w:rsidP="00C970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  <w:r w:rsidRPr="007A74BF">
        <w:rPr>
          <w:rFonts w:ascii="Bookman Old Style" w:hAnsi="Bookman Old Style" w:cs="TimesNewRomanPSMT"/>
          <w:sz w:val="24"/>
          <w:szCs w:val="24"/>
        </w:rPr>
        <w:t>Sconto obbligatorio</w:t>
      </w:r>
      <w:r w:rsidR="00DE4C24">
        <w:rPr>
          <w:rFonts w:ascii="Bookman Old Style" w:hAnsi="Bookman Old Style" w:cs="TimesNewRomanPSMT"/>
          <w:sz w:val="24"/>
          <w:szCs w:val="24"/>
        </w:rPr>
        <w:t>, su tutta la molecola,</w:t>
      </w:r>
      <w:r w:rsidRPr="007A74BF">
        <w:rPr>
          <w:rFonts w:ascii="Bookman Old Style" w:hAnsi="Bookman Old Style" w:cs="TimesNewRomanPSMT"/>
          <w:sz w:val="24"/>
          <w:szCs w:val="24"/>
        </w:rPr>
        <w:t xml:space="preserve"> sul prezzo ex </w:t>
      </w:r>
      <w:proofErr w:type="spellStart"/>
      <w:r w:rsidRPr="007A74BF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7A74BF">
        <w:rPr>
          <w:rFonts w:ascii="Bookman Old Style" w:hAnsi="Bookman Old Style" w:cs="TimesNewRomanPSMT"/>
          <w:sz w:val="24"/>
          <w:szCs w:val="24"/>
        </w:rPr>
        <w:t xml:space="preserve"> </w:t>
      </w:r>
      <w:r w:rsidR="00DE4C24">
        <w:rPr>
          <w:rFonts w:ascii="Bookman Old Style" w:hAnsi="Bookman Old Style" w:cs="TimesNewRomanPSMT"/>
          <w:sz w:val="24"/>
          <w:szCs w:val="24"/>
        </w:rPr>
        <w:t xml:space="preserve">da praticarsi alle strutture pubbliche del SSN, ivi comprese le strutture sanitarie private accreditate con il SSN, </w:t>
      </w:r>
      <w:r w:rsidRPr="007A74BF">
        <w:rPr>
          <w:rFonts w:ascii="Bookman Old Style" w:hAnsi="Bookman Old Style" w:cs="TimesNewRomanPSMT"/>
          <w:sz w:val="24"/>
          <w:szCs w:val="24"/>
        </w:rPr>
        <w:t xml:space="preserve">come da condizioni negoziali; </w:t>
      </w:r>
    </w:p>
    <w:p w:rsidR="00F5284F" w:rsidRDefault="00963591" w:rsidP="00C970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Innovatività terapeutica piena: </w:t>
      </w:r>
      <w:r w:rsidRPr="00023EB4">
        <w:rPr>
          <w:rFonts w:ascii="Bookman Old Style" w:hAnsi="Bookman Old Style" w:cs="TimesNewRomanPSMT"/>
          <w:sz w:val="24"/>
          <w:szCs w:val="24"/>
        </w:rPr>
        <w:t>inserimento nel Fondo dei farmaci innovativi oncologici</w:t>
      </w:r>
      <w:r>
        <w:rPr>
          <w:rFonts w:ascii="Bookman Old Style" w:hAnsi="Bookman Old Style" w:cs="TimesNewRomanPSMT"/>
          <w:sz w:val="24"/>
          <w:szCs w:val="24"/>
        </w:rPr>
        <w:t>;</w:t>
      </w:r>
      <w:r w:rsidRPr="00023EB4">
        <w:rPr>
          <w:rFonts w:ascii="Bookman Old Style" w:hAnsi="Bookman Old Style" w:cs="TimesNewRomanPSMT"/>
          <w:sz w:val="24"/>
          <w:szCs w:val="24"/>
        </w:rPr>
        <w:t xml:space="preserve"> beneficio economico della sospensione delle riduzioni di legge di cui alle determinazioni AIFA del 3 luglio</w:t>
      </w:r>
      <w:r>
        <w:rPr>
          <w:rFonts w:ascii="Bookman Old Style" w:hAnsi="Bookman Old Style" w:cs="TimesNewRomanPSMT"/>
          <w:sz w:val="24"/>
          <w:szCs w:val="24"/>
        </w:rPr>
        <w:t xml:space="preserve"> 2006 e del 27 settembre 2006; </w:t>
      </w:r>
      <w:r w:rsidRPr="00023EB4">
        <w:rPr>
          <w:rFonts w:ascii="Bookman Old Style" w:hAnsi="Bookman Old Style" w:cs="TimesNewRomanPSMT"/>
          <w:sz w:val="24"/>
          <w:szCs w:val="24"/>
        </w:rPr>
        <w:t>inserimento diretto nei prontuari terapeutici regionali</w:t>
      </w:r>
      <w:r w:rsidR="00F5284F">
        <w:rPr>
          <w:rFonts w:ascii="Bookman Old Style" w:hAnsi="Bookman Old Style" w:cs="TimesNewRomanPSMT"/>
          <w:sz w:val="24"/>
          <w:szCs w:val="24"/>
        </w:rPr>
        <w:t>;</w:t>
      </w:r>
    </w:p>
    <w:p w:rsidR="008B11FC" w:rsidRPr="008B11FC" w:rsidRDefault="00F5284F" w:rsidP="008B11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  <w:r w:rsidRPr="008B11FC">
        <w:rPr>
          <w:rFonts w:ascii="Bookman Old Style" w:hAnsi="Bookman Old Style" w:cs="TimesNewRomanPSMT"/>
          <w:sz w:val="24"/>
          <w:szCs w:val="24"/>
        </w:rPr>
        <w:t xml:space="preserve">Validità contratto: </w:t>
      </w:r>
      <w:r w:rsidR="00DE4C24">
        <w:rPr>
          <w:rFonts w:ascii="Bookman Old Style" w:hAnsi="Bookman Old Style" w:cs="Courier New"/>
          <w:color w:val="000000"/>
          <w:sz w:val="24"/>
          <w:szCs w:val="24"/>
        </w:rPr>
        <w:t>ventiquattro mesi</w:t>
      </w:r>
      <w:r w:rsidR="008B11FC" w:rsidRPr="008B11FC">
        <w:rPr>
          <w:rFonts w:ascii="Bookman Old Style" w:hAnsi="Bookman Old Style" w:cs="Courier New"/>
          <w:color w:val="000000"/>
          <w:sz w:val="24"/>
          <w:szCs w:val="24"/>
          <w:lang w:eastAsia="it-IT"/>
        </w:rPr>
        <w:t>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C9708C" w:rsidRPr="007A74BF" w:rsidRDefault="00C9708C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F5284F">
        <w:rPr>
          <w:rFonts w:ascii="Bookman Old Style" w:hAnsi="Bookman Old Style" w:cs="TimesNewRomanPSMT"/>
          <w:color w:val="auto"/>
          <w:kern w:val="0"/>
          <w:sz w:val="24"/>
          <w:szCs w:val="24"/>
        </w:rPr>
        <w:t>utilizzabile esclusivamente in ambiente ospedaliero o ad esso assimilabile (OSP).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="00DE4C24" w:rsidRPr="008E1B2A">
          <w:rPr>
            <w:rStyle w:val="Collegamentoipertestuale"/>
            <w:rFonts w:ascii="Bookman Old Style" w:hAnsi="Bookman Old Style"/>
            <w:sz w:val="24"/>
            <w:szCs w:val="24"/>
          </w:rPr>
          <w:t>http://www.agenziafarmaco.gov.it/it/content/ 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 w:rsidR="003C1F13"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</w:t>
      </w:r>
      <w:r w:rsidR="00DE4C24">
        <w:rPr>
          <w:rFonts w:ascii="Bookman Old Style" w:hAnsi="Bookman Old Style"/>
          <w:sz w:val="24"/>
          <w:szCs w:val="24"/>
        </w:rPr>
        <w:t>portale istituzionale dell’AIFA</w:t>
      </w:r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>I dati inerenti ai trattamenti effettuati a partire dalla data d</w:t>
      </w:r>
      <w:r w:rsidR="00DE4C24">
        <w:rPr>
          <w:rFonts w:ascii="Bookman Old Style" w:hAnsi="Bookman Old Style"/>
          <w:sz w:val="24"/>
          <w:szCs w:val="24"/>
        </w:rPr>
        <w:t>i entrata in vigore della determin</w:t>
      </w:r>
      <w:r w:rsidRPr="007A74BF">
        <w:rPr>
          <w:rFonts w:ascii="Bookman Old Style" w:hAnsi="Bookman Old Style"/>
          <w:sz w:val="24"/>
          <w:szCs w:val="24"/>
        </w:rPr>
        <w:t xml:space="preserve">azione, tramite la modalità temporanea suindicata, dovranno essere successivamente riportati nella piattaforma web, secondo le modalità </w:t>
      </w:r>
      <w:r w:rsidR="00DE4C24">
        <w:rPr>
          <w:rFonts w:ascii="Bookman Old Style" w:hAnsi="Bookman Old Style"/>
          <w:sz w:val="24"/>
          <w:szCs w:val="24"/>
        </w:rPr>
        <w:t>previste.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904BC4" w:rsidRPr="00904BC4" w:rsidRDefault="0035421E" w:rsidP="00904BC4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904BC4" w:rsidRDefault="00904BC4" w:rsidP="00904BC4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  <w:r w:rsidRPr="00904BC4"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  <w:t>Premesso ciò, i Centri autorizzati alla prescrizione sono quelli riportati in tabella:</w:t>
      </w:r>
    </w:p>
    <w:p w:rsidR="00904BC4" w:rsidRPr="00904BC4" w:rsidRDefault="00904BC4" w:rsidP="00904BC4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3539"/>
        <w:gridCol w:w="3174"/>
        <w:gridCol w:w="3068"/>
      </w:tblGrid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ENTE</w:t>
            </w:r>
          </w:p>
          <w:p w:rsidR="00963591" w:rsidRDefault="00963591" w:rsidP="0011283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Pr="00C77D13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4"/>
                <w:szCs w:val="24"/>
                <w:lang w:eastAsia="en-US"/>
              </w:rPr>
            </w:pPr>
            <w:r w:rsidRPr="00C77D13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</w:tbl>
    <w:p w:rsidR="00904BC4" w:rsidRPr="00904BC4" w:rsidRDefault="00904BC4" w:rsidP="00904BC4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636E92" w:rsidRPr="007A74BF" w:rsidRDefault="00636E92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sectPr w:rsidR="00636E92" w:rsidRPr="007A74BF" w:rsidSect="00943F48">
      <w:footerReference w:type="default" r:id="rId11"/>
      <w:headerReference w:type="first" r:id="rId12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CF" w:rsidRDefault="007225CF">
      <w:pPr>
        <w:spacing w:before="0" w:after="0"/>
      </w:pPr>
      <w:r>
        <w:separator/>
      </w:r>
    </w:p>
  </w:endnote>
  <w:endnote w:type="continuationSeparator" w:id="0">
    <w:p w:rsidR="007225CF" w:rsidRDefault="007225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C33DCA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BD3563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9oqO5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C40E8B">
        <w:pPr>
          <w:pStyle w:val="Pidipagina"/>
          <w:jc w:val="center"/>
        </w:pPr>
        <w:r>
          <w:fldChar w:fldCharType="begin"/>
        </w:r>
        <w:r w:rsidR="00D5457C">
          <w:instrText>PAGE    \* MERGEFORMAT</w:instrText>
        </w:r>
        <w:r>
          <w:fldChar w:fldCharType="separate"/>
        </w:r>
        <w:r w:rsidR="00963591">
          <w:rPr>
            <w:noProof/>
          </w:rPr>
          <w:t>2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CF" w:rsidRDefault="007225CF">
      <w:pPr>
        <w:spacing w:before="0" w:after="0"/>
      </w:pPr>
      <w:r>
        <w:separator/>
      </w:r>
    </w:p>
  </w:footnote>
  <w:footnote w:type="continuationSeparator" w:id="0">
    <w:p w:rsidR="007225CF" w:rsidRDefault="007225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934A2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12557"/>
    <w:rsid w:val="00027448"/>
    <w:rsid w:val="000459D8"/>
    <w:rsid w:val="00072797"/>
    <w:rsid w:val="00086889"/>
    <w:rsid w:val="000C4976"/>
    <w:rsid w:val="000E5124"/>
    <w:rsid w:val="001161EA"/>
    <w:rsid w:val="0013231E"/>
    <w:rsid w:val="00157130"/>
    <w:rsid w:val="00185A65"/>
    <w:rsid w:val="001D7DBA"/>
    <w:rsid w:val="001F10F3"/>
    <w:rsid w:val="001F61C0"/>
    <w:rsid w:val="001F62B7"/>
    <w:rsid w:val="00206EE8"/>
    <w:rsid w:val="00221B79"/>
    <w:rsid w:val="002247BD"/>
    <w:rsid w:val="00225C2E"/>
    <w:rsid w:val="0026366D"/>
    <w:rsid w:val="00297984"/>
    <w:rsid w:val="002B0F37"/>
    <w:rsid w:val="002B1A45"/>
    <w:rsid w:val="0035421E"/>
    <w:rsid w:val="0036393B"/>
    <w:rsid w:val="003A030E"/>
    <w:rsid w:val="003A5F38"/>
    <w:rsid w:val="003A66A6"/>
    <w:rsid w:val="003C1F13"/>
    <w:rsid w:val="003C21AF"/>
    <w:rsid w:val="003C3CB9"/>
    <w:rsid w:val="003C60AE"/>
    <w:rsid w:val="003D2DBF"/>
    <w:rsid w:val="003D3715"/>
    <w:rsid w:val="003E67C7"/>
    <w:rsid w:val="004122A3"/>
    <w:rsid w:val="00443DA2"/>
    <w:rsid w:val="00465F14"/>
    <w:rsid w:val="004773C1"/>
    <w:rsid w:val="00485DCC"/>
    <w:rsid w:val="00492A7A"/>
    <w:rsid w:val="00495531"/>
    <w:rsid w:val="004B22D5"/>
    <w:rsid w:val="004B7D73"/>
    <w:rsid w:val="004C0AF8"/>
    <w:rsid w:val="004D7D40"/>
    <w:rsid w:val="004E4E8A"/>
    <w:rsid w:val="004E7965"/>
    <w:rsid w:val="004F5B99"/>
    <w:rsid w:val="004F5D52"/>
    <w:rsid w:val="005011ED"/>
    <w:rsid w:val="00531BB4"/>
    <w:rsid w:val="00551363"/>
    <w:rsid w:val="00551373"/>
    <w:rsid w:val="00587C03"/>
    <w:rsid w:val="005A59D1"/>
    <w:rsid w:val="005B1182"/>
    <w:rsid w:val="005C0D55"/>
    <w:rsid w:val="005C3F78"/>
    <w:rsid w:val="005F46D5"/>
    <w:rsid w:val="0060036B"/>
    <w:rsid w:val="00600A47"/>
    <w:rsid w:val="00604EAE"/>
    <w:rsid w:val="00610561"/>
    <w:rsid w:val="00613638"/>
    <w:rsid w:val="00624DD7"/>
    <w:rsid w:val="00636E92"/>
    <w:rsid w:val="00644D81"/>
    <w:rsid w:val="00663D74"/>
    <w:rsid w:val="00690745"/>
    <w:rsid w:val="006A6987"/>
    <w:rsid w:val="006B4E0B"/>
    <w:rsid w:val="006C3A26"/>
    <w:rsid w:val="006C7E77"/>
    <w:rsid w:val="006F1E60"/>
    <w:rsid w:val="00705626"/>
    <w:rsid w:val="00711107"/>
    <w:rsid w:val="00716C95"/>
    <w:rsid w:val="007225CF"/>
    <w:rsid w:val="00764002"/>
    <w:rsid w:val="00777C21"/>
    <w:rsid w:val="007A74BF"/>
    <w:rsid w:val="007B409F"/>
    <w:rsid w:val="007C1FAB"/>
    <w:rsid w:val="007F0B6D"/>
    <w:rsid w:val="00800C91"/>
    <w:rsid w:val="00804479"/>
    <w:rsid w:val="00810EB2"/>
    <w:rsid w:val="0083596E"/>
    <w:rsid w:val="00846B3B"/>
    <w:rsid w:val="008514EF"/>
    <w:rsid w:val="008B11FC"/>
    <w:rsid w:val="008B594C"/>
    <w:rsid w:val="008D1419"/>
    <w:rsid w:val="008F7318"/>
    <w:rsid w:val="00904BC4"/>
    <w:rsid w:val="00905A0F"/>
    <w:rsid w:val="009309D9"/>
    <w:rsid w:val="00943F48"/>
    <w:rsid w:val="00963591"/>
    <w:rsid w:val="00995551"/>
    <w:rsid w:val="009B7A26"/>
    <w:rsid w:val="009C21DC"/>
    <w:rsid w:val="009C6AF8"/>
    <w:rsid w:val="00A0271A"/>
    <w:rsid w:val="00A15CEA"/>
    <w:rsid w:val="00A16D92"/>
    <w:rsid w:val="00A310DC"/>
    <w:rsid w:val="00A313EF"/>
    <w:rsid w:val="00A3787E"/>
    <w:rsid w:val="00A37A25"/>
    <w:rsid w:val="00A56DAE"/>
    <w:rsid w:val="00A67134"/>
    <w:rsid w:val="00A9159C"/>
    <w:rsid w:val="00A964AA"/>
    <w:rsid w:val="00AB14A4"/>
    <w:rsid w:val="00AC385D"/>
    <w:rsid w:val="00AE73F2"/>
    <w:rsid w:val="00AF0961"/>
    <w:rsid w:val="00AF38B9"/>
    <w:rsid w:val="00B00E77"/>
    <w:rsid w:val="00B52635"/>
    <w:rsid w:val="00B90641"/>
    <w:rsid w:val="00BC53C6"/>
    <w:rsid w:val="00C12BD3"/>
    <w:rsid w:val="00C16F34"/>
    <w:rsid w:val="00C33DCA"/>
    <w:rsid w:val="00C33F56"/>
    <w:rsid w:val="00C40E8B"/>
    <w:rsid w:val="00C57570"/>
    <w:rsid w:val="00C9708C"/>
    <w:rsid w:val="00CB2919"/>
    <w:rsid w:val="00CD1365"/>
    <w:rsid w:val="00CE272C"/>
    <w:rsid w:val="00CF6B23"/>
    <w:rsid w:val="00D05E83"/>
    <w:rsid w:val="00D126A1"/>
    <w:rsid w:val="00D32ABF"/>
    <w:rsid w:val="00D5457C"/>
    <w:rsid w:val="00D55EFD"/>
    <w:rsid w:val="00DE4C24"/>
    <w:rsid w:val="00E31521"/>
    <w:rsid w:val="00E523DB"/>
    <w:rsid w:val="00E56DDB"/>
    <w:rsid w:val="00E7728E"/>
    <w:rsid w:val="00E806EC"/>
    <w:rsid w:val="00EA5A8C"/>
    <w:rsid w:val="00EE2CB1"/>
    <w:rsid w:val="00EF7F6A"/>
    <w:rsid w:val="00F02067"/>
    <w:rsid w:val="00F05055"/>
    <w:rsid w:val="00F16F0B"/>
    <w:rsid w:val="00F242B0"/>
    <w:rsid w:val="00F24787"/>
    <w:rsid w:val="00F35143"/>
    <w:rsid w:val="00F36792"/>
    <w:rsid w:val="00F5284F"/>
    <w:rsid w:val="00F57D39"/>
    <w:rsid w:val="00F761E7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BD6586"/>
  <w15:docId w15:val="{D7B9188E-C856-4C0C-8E0A-A6CB4436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F48"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3F48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3F48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F48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rsid w:val="00943F48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F48"/>
    <w:rPr>
      <w:kern w:val="20"/>
    </w:rPr>
  </w:style>
  <w:style w:type="paragraph" w:styleId="Nessunaspaziatura">
    <w:name w:val="No Spacing"/>
    <w:link w:val="NessunaspaziaturaCarattere"/>
    <w:uiPriority w:val="1"/>
    <w:qFormat/>
    <w:rsid w:val="00943F48"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sid w:val="00943F48"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43F48"/>
  </w:style>
  <w:style w:type="table" w:styleId="Grigliatabella">
    <w:name w:val="Table Grid"/>
    <w:basedOn w:val="Tabellanormale"/>
    <w:uiPriority w:val="59"/>
    <w:rsid w:val="00943F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943F48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43F48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943F48"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rsid w:val="00943F48"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943F48"/>
    <w:rPr>
      <w:kern w:val="20"/>
    </w:rPr>
  </w:style>
  <w:style w:type="table" w:customStyle="1" w:styleId="TabellaRapportostato">
    <w:name w:val="Tabella Rapporto stato"/>
    <w:basedOn w:val="Tabellanormale"/>
    <w:uiPriority w:val="99"/>
    <w:rsid w:val="00943F48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943F48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genziafarmaco.gov.it/it/content/%20registri-farmaci-sottoposti-monitoragg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8A423-9B91-4B8B-928E-76D29D6B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59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Sagratella</dc:creator>
  <cp:lastModifiedBy>Antea Maria Pia Mangano</cp:lastModifiedBy>
  <cp:revision>13</cp:revision>
  <cp:lastPrinted>2017-03-27T11:06:00Z</cp:lastPrinted>
  <dcterms:created xsi:type="dcterms:W3CDTF">2019-01-17T16:36:00Z</dcterms:created>
  <dcterms:modified xsi:type="dcterms:W3CDTF">2019-12-23T14:38:00Z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